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3783" w14:textId="24BBA34F" w:rsidR="00D8536E" w:rsidRDefault="00B922A5"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922A5">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 xml:space="preserve">Engineering is futures-focused and multidisciplinary </w:t>
      </w:r>
      <w:r w:rsidR="00E57D50"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sidR="00E57D50">
        <w:rPr>
          <w:rFonts w:eastAsiaTheme="majorEastAsia" w:cstheme="majorBidi"/>
          <w:b/>
          <w:color w:val="F15E23"/>
          <w:sz w:val="29"/>
          <w:szCs w:val="29"/>
        </w:rPr>
        <w:t xml:space="preserve"> </w:t>
      </w:r>
      <w:r w:rsidR="007C25F1" w:rsidRPr="007C25F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In this lesson, students explore the multidisciplinary nature of contemporary engineering, and how engineering is pivotal to solving future challenges such as climate change, renewable </w:t>
      </w:r>
      <w:proofErr w:type="gramStart"/>
      <w:r w:rsidR="007C25F1" w:rsidRPr="007C25F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energy</w:t>
      </w:r>
      <w:proofErr w:type="gramEnd"/>
      <w:r w:rsidR="007C25F1" w:rsidRPr="007C25F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food security. Students use their knowledge of global cycles to explore solutions proposed in the </w:t>
      </w:r>
      <w:proofErr w:type="spellStart"/>
      <w:r w:rsidR="007C25F1" w:rsidRPr="007C25F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Earthshot</w:t>
      </w:r>
      <w:proofErr w:type="spellEnd"/>
      <w:r w:rsidR="007C25F1" w:rsidRPr="007C25F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Prize and present their findings to the class.</w:t>
      </w:r>
    </w:p>
    <w:p w14:paraId="21C762CF" w14:textId="43A390C9" w:rsidR="004915A8" w:rsidRPr="00D238AC" w:rsidRDefault="00E57D50"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00041E75"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9</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w:t>
      </w:r>
      <w:r w:rsid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10</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536A0151" w14:textId="21C0ED35" w:rsidR="00FB3A31" w:rsidRPr="00332E30" w:rsidRDefault="00E57D50" w:rsidP="00296B8D">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3D3418B6" w14:textId="10FC5B37" w:rsidR="00D8536E" w:rsidRPr="00D8536E" w:rsidRDefault="00D8536E" w:rsidP="00296B8D">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Design and Technologies</w:t>
      </w:r>
    </w:p>
    <w:p w14:paraId="56E9DB9A" w14:textId="3C43F4B1" w:rsidR="00D8536E" w:rsidRPr="00D8536E" w:rsidRDefault="00D8536E"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how people in design and technologies occupations consider ethical and sustainability factors to design and produce products, services and environments </w:t>
      </w:r>
      <w:hyperlink r:id="rId11"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(AC9TDE8K01)</w:t>
        </w:r>
      </w:hyperlink>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00224068" w14:textId="0D4CC045" w:rsidR="00D8536E" w:rsidRDefault="00D8536E" w:rsidP="00296B8D">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impact of innovation and the development of technologies on designed solutions for global preferred futures </w:t>
      </w:r>
      <w:hyperlink r:id="rId12"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(AC9TDE8K02)</w:t>
        </w:r>
      </w:hyperlink>
    </w:p>
    <w:p w14:paraId="3D42835D" w14:textId="77777777" w:rsidR="00332E30" w:rsidRPr="00E57D50" w:rsidRDefault="00332E30" w:rsidP="00296B8D">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Science</w:t>
      </w:r>
    </w:p>
    <w:p w14:paraId="14EE804D" w14:textId="5C6C5D92" w:rsidR="007C32BB" w:rsidRPr="00FC0AFF" w:rsidRDefault="007C32BB" w:rsidP="00296B8D">
      <w:pPr>
        <w:pStyle w:val="Body"/>
        <w:spacing w:before="120" w:after="120" w:line="288" w:lineRule="auto"/>
        <w:rPr>
          <w:lang w:val="en-AU"/>
        </w:rPr>
      </w:pPr>
      <w:r w:rsidRPr="004E5845">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Represent </w:t>
      </w:r>
      <w:r w:rsidRPr="004E584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the carbon cycle and examine how key processes including combustion, photosynthesis and respiration rely on interactions between Earth</w:t>
      </w:r>
      <w:r w:rsidRPr="004E5845">
        <w:rPr>
          <w:rFonts w:ascii="Helvetica" w:eastAsiaTheme="minorEastAsia" w:hAnsi="Helvetica" w:cstheme="minorBidi"/>
          <w:color w:val="37424A"/>
          <w:sz w:val="20"/>
          <w:szCs w:val="20"/>
          <w:bdr w:val="none" w:sz="0" w:space="0" w:color="auto"/>
          <w:rtl/>
          <w:lang w:eastAsia="zh-CN"/>
          <w14:textOutline w14:w="0" w14:cap="rnd" w14:cmpd="sng" w14:algn="ctr">
            <w14:noFill/>
            <w14:prstDash w14:val="solid"/>
            <w14:bevel/>
          </w14:textOutline>
        </w:rPr>
        <w:t>’</w:t>
      </w:r>
      <w:r w:rsidRPr="004E584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 spheres (the geosphere, biosphere, hydrosphere and atmosphere)</w:t>
      </w:r>
      <w:r w:rsidRPr="00FC0AFF">
        <w:rPr>
          <w:rFonts w:hint="eastAsia"/>
        </w:rPr>
        <w:t xml:space="preserve"> </w:t>
      </w:r>
      <w:r w:rsidRPr="00F9134D">
        <w:rPr>
          <w:rFonts w:hint="eastAsia"/>
        </w:rPr>
        <w:t>(</w:t>
      </w:r>
      <w:hyperlink r:id="rId13" w:history="1">
        <w:r w:rsidRPr="004E584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AC9S9U03</w:t>
        </w:r>
      </w:hyperlink>
      <w:r w:rsidRPr="004E5845">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FC0AFF">
        <w:rPr>
          <w:lang w:val="en-AU"/>
        </w:rPr>
        <w:t xml:space="preserve"> </w:t>
      </w:r>
    </w:p>
    <w:p w14:paraId="13781AAE" w14:textId="2C731167" w:rsidR="007C32BB" w:rsidRPr="00605E36" w:rsidRDefault="007C32BB" w:rsidP="00296B8D">
      <w:pPr>
        <w:pStyle w:val="Body"/>
        <w:spacing w:before="120" w:after="120" w:line="288" w:lineRule="auto"/>
        <w:rPr>
          <w:lang w:val="en-AU"/>
        </w:rPr>
      </w:pPr>
      <w:r w:rsidRPr="007C32BB">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Use </w:t>
      </w:r>
      <w:r w:rsidRPr="007C32B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models of energy flow between the geosphere, biosphere, hydrosphere and atmosphere to explain patterns of global climate change</w:t>
      </w:r>
      <w:r w:rsidRPr="00FC0AFF">
        <w:rPr>
          <w:rFonts w:hint="eastAsia"/>
        </w:rPr>
        <w:t xml:space="preserve"> </w:t>
      </w:r>
      <w:r w:rsidRPr="004E5845">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hyperlink r:id="rId14" w:history="1">
        <w:r w:rsidRPr="004E584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AC9S10U04</w:t>
        </w:r>
      </w:hyperlink>
      <w:r w:rsidRPr="00BD7154">
        <w:rPr>
          <w:rFonts w:hint="eastAsia"/>
        </w:rPr>
        <w:t>)</w:t>
      </w:r>
      <w:r w:rsidRPr="00FC0AFF">
        <w:rPr>
          <w:lang w:val="en-AU"/>
        </w:rPr>
        <w:t xml:space="preserve"> </w:t>
      </w:r>
    </w:p>
    <w:p w14:paraId="48D483E9" w14:textId="36978855" w:rsidR="00341C7A" w:rsidRPr="00605E36" w:rsidRDefault="00332E30" w:rsidP="00296B8D">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Investigate how advances in technologies enable advances in science, and how science has contributed to developments in technologies and engineering</w:t>
      </w:r>
      <w:r w:rsidRPr="0025318F">
        <w:t xml:space="preserve"> </w:t>
      </w:r>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hyperlink r:id="rId15"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AC9S10H02</w:t>
        </w:r>
      </w:hyperlink>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r w:rsidRPr="0025318F">
        <w:rPr>
          <w:lang w:val="en-AU"/>
        </w:rPr>
        <w:t xml:space="preserve"> </w:t>
      </w:r>
    </w:p>
    <w:p w14:paraId="40585ADE" w14:textId="781E3A9C" w:rsidR="00E57D50" w:rsidRPr="00D238AC" w:rsidRDefault="00E57D50" w:rsidP="00296B8D">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65D8368D" w14:textId="138443F9" w:rsidR="00341C7A" w:rsidRDefault="001F650D"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F650D">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The video</w:t>
      </w:r>
      <w:r w:rsidRPr="001F650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hyperlink r:id="rId16" w:history="1">
        <w:r w:rsidRPr="004957E4">
          <w:rPr>
            <w:rStyle w:val="Hyperlink"/>
            <w:rFonts w:ascii="Helvetica" w:hAnsi="Helvetica" w:cs="Helvetica"/>
            <w:sz w:val="20"/>
            <w:szCs w:val="20"/>
            <w:lang w:eastAsia="zh-CN"/>
          </w:rPr>
          <w:t>The map of engineering</w:t>
        </w:r>
      </w:hyperlink>
      <w:r w:rsidRPr="004957E4">
        <w:rPr>
          <w:rStyle w:val="Hyperlink"/>
          <w:rFonts w:ascii="Helvetica" w:hAnsi="Helvetica" w:cs="Helvetica"/>
          <w:sz w:val="20"/>
          <w:szCs w:val="20"/>
          <w:lang w:eastAsia="zh-CN"/>
        </w:rPr>
        <w:t>’</w:t>
      </w:r>
      <w:r w:rsidRPr="001F650D">
        <w:rPr>
          <w:rStyle w:val="Hyperlink"/>
          <w:lang w:eastAsia="zh-CN"/>
        </w:rPr>
        <w:t xml:space="preserve"> </w:t>
      </w:r>
      <w:r w:rsidRPr="001F650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shows the diverse specialisations within engineering. As students watch the video, challenge them to create a mind map that connects the different types of engineering. As a challenge, see if students can add other related STEM specialisations to their mind map, such as meteorology, geology, </w:t>
      </w:r>
      <w:proofErr w:type="gramStart"/>
      <w:r w:rsidRPr="001F650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chemistry</w:t>
      </w:r>
      <w:proofErr w:type="gramEnd"/>
      <w:r w:rsidRPr="001F650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ecology</w:t>
      </w:r>
      <w:r w:rsidR="00A1031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4BFB60DD" w14:textId="4E06AFE5" w:rsidR="00E57D50" w:rsidRPr="00E57D50" w:rsidRDefault="00E57D50" w:rsidP="00296B8D">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21DE6F89" w14:textId="1B9A58B8" w:rsidR="00AD0C7D" w:rsidRPr="00AD0C7D" w:rsidRDefault="00AD0C7D"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D0C7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Engineering is key to a more sustainable future. Engineers have an important role to play in solving some of the world’s most pressing challenges, such as climate change, renewable </w:t>
      </w:r>
      <w:proofErr w:type="gramStart"/>
      <w:r w:rsidRPr="00AD0C7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energy</w:t>
      </w:r>
      <w:proofErr w:type="gramEnd"/>
      <w:r w:rsidRPr="00AD0C7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food insecurity. </w:t>
      </w:r>
    </w:p>
    <w:p w14:paraId="62DC65E3" w14:textId="3DCCC4EF" w:rsidR="00341C7A" w:rsidRPr="00AD0C7D" w:rsidRDefault="00AD0C7D"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D0C7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listen to the </w:t>
      </w:r>
      <w:hyperlink r:id="rId17" w:history="1">
        <w:r w:rsidRPr="004957E4">
          <w:rPr>
            <w:rStyle w:val="Hyperlink"/>
            <w:rFonts w:ascii="Helvetica" w:hAnsi="Helvetica" w:cs="Helvetica"/>
            <w:sz w:val="20"/>
            <w:szCs w:val="20"/>
            <w:lang w:eastAsia="zh-CN"/>
          </w:rPr>
          <w:t>Engineering the Future podcast series</w:t>
        </w:r>
      </w:hyperlink>
      <w:r w:rsidRPr="004957E4">
        <w:rPr>
          <w:rFonts w:ascii="Helvetica" w:eastAsiaTheme="minorEastAsia" w:hAnsi="Helvetica" w:cs="Helvetica"/>
          <w:color w:val="37424A"/>
          <w:sz w:val="20"/>
          <w:szCs w:val="20"/>
          <w:bdr w:val="none" w:sz="0" w:space="0" w:color="auto"/>
          <w:lang w:eastAsia="zh-CN"/>
          <w14:textOutline w14:w="0" w14:cap="rnd" w14:cmpd="sng" w14:algn="ctr">
            <w14:noFill/>
            <w14:prstDash w14:val="solid"/>
            <w14:bevel/>
          </w14:textOutline>
        </w:rPr>
        <w:t xml:space="preserve"> from UNSW to learn more about the diverse ways engineering can contribute to a more sustainable future</w:t>
      </w:r>
      <w:r w:rsidRPr="00AD0C7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CE08B97" w14:textId="22A0E227" w:rsidR="00380652" w:rsidRPr="00341C7A" w:rsidRDefault="00380652" w:rsidP="00296B8D">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380652">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construction </w:t>
      </w:r>
    </w:p>
    <w:p w14:paraId="37F27B49" w14:textId="5DF6296F" w:rsidR="00380652" w:rsidRPr="00380652" w:rsidRDefault="00380652"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806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As a class, explore the</w:t>
      </w:r>
      <w:r w:rsidRPr="004957E4">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hyperlink r:id="rId18" w:history="1">
        <w:proofErr w:type="spellStart"/>
        <w:r w:rsidRPr="004957E4">
          <w:rPr>
            <w:rStyle w:val="Hyperlink"/>
            <w:sz w:val="20"/>
            <w:szCs w:val="20"/>
            <w:lang w:eastAsia="zh-CN"/>
          </w:rPr>
          <w:t>Earthshot</w:t>
        </w:r>
        <w:proofErr w:type="spellEnd"/>
        <w:r w:rsidRPr="004957E4">
          <w:rPr>
            <w:rStyle w:val="Hyperlink"/>
            <w:sz w:val="20"/>
            <w:szCs w:val="20"/>
            <w:lang w:eastAsia="zh-CN"/>
          </w:rPr>
          <w:t xml:space="preserve"> Prize</w:t>
        </w:r>
      </w:hyperlink>
      <w:r w:rsidRPr="003806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winners and finalists for 2021</w:t>
      </w:r>
      <w:r w:rsidRPr="00380652">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w:t>
      </w:r>
      <w:r w:rsidRPr="003806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2023. View one or two projects as a class. For each project, see if you can identify where engineering played a role in the solution.</w:t>
      </w:r>
    </w:p>
    <w:p w14:paraId="19CDC22A" w14:textId="2F20A26A" w:rsidR="00FB3A31" w:rsidRDefault="00380652"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806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Challenge students to select one </w:t>
      </w:r>
      <w:proofErr w:type="spellStart"/>
      <w:r w:rsidRPr="003806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Earthshot</w:t>
      </w:r>
      <w:proofErr w:type="spellEnd"/>
      <w:r w:rsidRPr="003806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finalist who inspires them and develop a brief presentation on the solution being proposed. Students should use their knowledge and understanding of global cycles to explain how the solution works and identify the role that engineering plays in the solution, as well as other professions required for the project’s success. </w:t>
      </w:r>
    </w:p>
    <w:p w14:paraId="2B502CAD" w14:textId="77777777" w:rsidR="00F11EA6" w:rsidRPr="00FB3A31" w:rsidRDefault="00F11EA6" w:rsidP="00296B8D">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1E7E7828" w14:textId="73F29C94" w:rsidR="0014029D" w:rsidRPr="00F0694F" w:rsidRDefault="00E57D50" w:rsidP="00341C7A">
      <w:r w:rsidRPr="003C0C33">
        <w:rPr>
          <w:noProof/>
        </w:rPr>
        <w:drawing>
          <wp:anchor distT="0" distB="0" distL="114300" distR="114300" simplePos="0" relativeHeight="251663360" behindDoc="0" locked="0" layoutInCell="1" allowOverlap="1" wp14:anchorId="2331041F" wp14:editId="5267433F">
            <wp:simplePos x="0" y="0"/>
            <wp:positionH relativeFrom="column">
              <wp:posOffset>5683968</wp:posOffset>
            </wp:positionH>
            <wp:positionV relativeFrom="paragraph">
              <wp:posOffset>-340332</wp:posOffset>
            </wp:positionV>
            <wp:extent cx="481816" cy="725893"/>
            <wp:effectExtent l="0" t="0" r="1270" b="0"/>
            <wp:wrapNone/>
            <wp:docPr id="52382807" name="Picture 5238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2807" name="Picture 52382807">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4D033F9" wp14:editId="0DC13956">
                <wp:extent cx="6578930" cy="2137559"/>
                <wp:effectExtent l="0" t="0" r="0" b="0"/>
                <wp:docPr id="1773203951" name="Round Single Corner Rectangle 2"/>
                <wp:cNvGraphicFramePr/>
                <a:graphic xmlns:a="http://schemas.openxmlformats.org/drawingml/2006/main">
                  <a:graphicData uri="http://schemas.microsoft.com/office/word/2010/wordprocessingShape">
                    <wps:wsp>
                      <wps:cNvSpPr/>
                      <wps:spPr>
                        <a:xfrm>
                          <a:off x="0" y="0"/>
                          <a:ext cx="6578930" cy="2137559"/>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08C57764" w14:textId="541253DC" w:rsidR="00820445" w:rsidRPr="00820445" w:rsidRDefault="00820445" w:rsidP="00820445">
                            <w:pPr>
                              <w:pStyle w:val="FeatureBody"/>
                              <w:rPr>
                                <w:bCs/>
                                <w:sz w:val="22"/>
                                <w:szCs w:val="22"/>
                              </w:rPr>
                            </w:pPr>
                            <w:r w:rsidRPr="00820445">
                              <w:rPr>
                                <w:bCs/>
                                <w:sz w:val="22"/>
                                <w:szCs w:val="22"/>
                              </w:rPr>
                              <w:t xml:space="preserve">Girls are highly motivated by meeting role models they can relate to. Consider inviting a woman with an engineering background or sustainability role to speak to students about her work, career pathway, </w:t>
                            </w:r>
                            <w:proofErr w:type="gramStart"/>
                            <w:r w:rsidRPr="00820445">
                              <w:rPr>
                                <w:bCs/>
                                <w:sz w:val="22"/>
                                <w:szCs w:val="22"/>
                              </w:rPr>
                              <w:t>experiences</w:t>
                            </w:r>
                            <w:proofErr w:type="gramEnd"/>
                            <w:r w:rsidRPr="00820445">
                              <w:rPr>
                                <w:bCs/>
                                <w:sz w:val="22"/>
                                <w:szCs w:val="22"/>
                              </w:rPr>
                              <w:t xml:space="preserve"> and interests. </w:t>
                            </w:r>
                          </w:p>
                          <w:p w14:paraId="36B68125" w14:textId="48678450" w:rsidR="009908A2" w:rsidRPr="00E57D50" w:rsidRDefault="00820445" w:rsidP="00820445">
                            <w:pPr>
                              <w:pStyle w:val="FeatureBody"/>
                              <w:rPr>
                                <w:bCs/>
                                <w:lang w:val="en-AU"/>
                              </w:rPr>
                            </w:pPr>
                            <w:r w:rsidRPr="00820445">
                              <w:rPr>
                                <w:bCs/>
                                <w:sz w:val="22"/>
                                <w:szCs w:val="22"/>
                              </w:rPr>
                              <w:t xml:space="preserve">You can search for local women in STEM using the Australian Academy of Science’s </w:t>
                            </w:r>
                            <w:hyperlink r:id="rId20" w:history="1">
                              <w:r w:rsidRPr="00FE4738">
                                <w:rPr>
                                  <w:rStyle w:val="Hyperlink"/>
                                  <w:bCs/>
                                  <w:sz w:val="22"/>
                                  <w:szCs w:val="22"/>
                                </w:rPr>
                                <w:t>STEM Women website</w:t>
                              </w:r>
                            </w:hyperlink>
                            <w:r w:rsidRPr="00820445">
                              <w:rPr>
                                <w:bCs/>
                                <w:sz w:val="22"/>
                                <w:szCs w:val="22"/>
                              </w:rPr>
                              <w:t xml:space="preserve">. Try searching using the terms ‘engineering’ or ‘sustainability’ and select ‘Outreach </w:t>
                            </w:r>
                            <w:proofErr w:type="gramStart"/>
                            <w:r w:rsidRPr="00820445">
                              <w:rPr>
                                <w:bCs/>
                                <w:sz w:val="22"/>
                                <w:szCs w:val="22"/>
                              </w:rPr>
                              <w:t>activities’</w:t>
                            </w:r>
                            <w:proofErr w:type="gramEnd"/>
                            <w:r w:rsidRPr="00820445">
                              <w:rPr>
                                <w:bCs/>
                                <w:sz w:val="22"/>
                                <w:szCs w:val="22"/>
                              </w:rPr>
                              <w:t>.</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4D033F9" id="Round Single Corner Rectangle 2" o:spid="_x0000_s1026" style="width:518.05pt;height:168.3pt;visibility:visible;mso-wrap-style:square;mso-left-percent:-10001;mso-top-percent:-10001;mso-position-horizontal:absolute;mso-position-horizontal-relative:char;mso-position-vertical:absolute;mso-position-vertical-relative:line;mso-left-percent:-10001;mso-top-percent:-10001;v-text-anchor:middle" coordsize="6578930,21375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" adj="-11796480,,5400" path="m,l6222663,v196761,,356267,159506,356267,356267l6578930,2137559,,2137559,,xe" fillcolor="#e2e0ef" stroked="f" strokeweight="1pt">
                <v:stroke joinstyle="miter"/>
                <v:formulas/>
                <v:path arrowok="t" o:connecttype="custom" o:connectlocs="0,0;6222663,0;6578930,356267;6578930,2137559;0,2137559;0,0" o:connectangles="0,0,0,0,0,0" textboxrect="0,0,6578930,2137559"/>
                <v:textbox inset="5mm,2mm,5mm,2mm">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08C57764" w14:textId="541253DC" w:rsidR="00820445" w:rsidRPr="00820445" w:rsidRDefault="00820445" w:rsidP="00820445">
                      <w:pPr>
                        <w:pStyle w:val="FeatureBody"/>
                        <w:rPr>
                          <w:bCs/>
                          <w:sz w:val="22"/>
                          <w:szCs w:val="22"/>
                        </w:rPr>
                      </w:pPr>
                      <w:r w:rsidRPr="00820445">
                        <w:rPr>
                          <w:bCs/>
                          <w:sz w:val="22"/>
                          <w:szCs w:val="22"/>
                        </w:rPr>
                        <w:t xml:space="preserve">Girls are highly motivated by meeting role models they can relate to. Consider inviting a woman with an engineering background or sustainability role to speak to students about her work, career pathway, experiences and interests. </w:t>
                      </w:r>
                    </w:p>
                    <w:p w14:paraId="36B68125" w14:textId="48678450" w:rsidR="009908A2" w:rsidRPr="00E57D50" w:rsidRDefault="00820445" w:rsidP="00820445">
                      <w:pPr>
                        <w:pStyle w:val="FeatureBody"/>
                        <w:rPr>
                          <w:bCs/>
                          <w:lang w:val="en-AU"/>
                        </w:rPr>
                      </w:pPr>
                      <w:r w:rsidRPr="00820445">
                        <w:rPr>
                          <w:bCs/>
                          <w:sz w:val="22"/>
                          <w:szCs w:val="22"/>
                        </w:rPr>
                        <w:t xml:space="preserve">You can search for local women in STEM using the Australian Academy of Science’s </w:t>
                      </w:r>
                      <w:hyperlink r:id="rId21" w:history="1">
                        <w:r w:rsidRPr="00FE4738">
                          <w:rPr>
                            <w:rStyle w:val="Hyperlink"/>
                            <w:bCs/>
                            <w:sz w:val="22"/>
                            <w:szCs w:val="22"/>
                          </w:rPr>
                          <w:t>STEM Women website</w:t>
                        </w:r>
                      </w:hyperlink>
                      <w:r w:rsidRPr="00820445">
                        <w:rPr>
                          <w:bCs/>
                          <w:sz w:val="22"/>
                          <w:szCs w:val="22"/>
                        </w:rPr>
                        <w:t>. Try searching using the terms ‘engineering’ or ‘sustainability’ and select ‘Outreach activities’.</w:t>
                      </w:r>
                    </w:p>
                  </w:txbxContent>
                </v:textbox>
                <w10:anchorlock/>
              </v:shape>
            </w:pict>
          </mc:Fallback>
        </mc:AlternateContent>
      </w:r>
    </w:p>
    <w:p w14:paraId="74527C92" w14:textId="36A8919B" w:rsidR="00C73608" w:rsidRPr="00D238AC" w:rsidRDefault="00C73608" w:rsidP="00296B8D">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Re</w:t>
      </w:r>
      <w:r w:rsidR="00F04A56">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ferences</w:t>
      </w:r>
    </w:p>
    <w:p w14:paraId="1D7CECB2" w14:textId="77777777" w:rsidR="007A6039" w:rsidRPr="00296B8D" w:rsidRDefault="007A6039" w:rsidP="00296B8D">
      <w:pPr>
        <w:pStyle w:val="Body"/>
        <w:spacing w:before="120" w:after="120" w:line="288" w:lineRule="auto"/>
        <w:rPr>
          <w:rFonts w:ascii="Helvetica" w:hAnsi="Helvetica" w:cs="Helvetica"/>
          <w:bCs/>
          <w:lang w:val="en-AU"/>
        </w:rPr>
      </w:pPr>
      <w:r w:rsidRPr="00296B8D">
        <w:rPr>
          <w:rFonts w:ascii="Helvetica" w:hAnsi="Helvetica" w:cs="Helvetica"/>
          <w:bCs/>
          <w:lang w:val="en-AU"/>
        </w:rPr>
        <w:t xml:space="preserve">Lopez A (2020) </w:t>
      </w:r>
      <w:hyperlink r:id="rId22" w:history="1">
        <w:r w:rsidRPr="00296B8D">
          <w:rPr>
            <w:rStyle w:val="Hyperlink"/>
            <w:rFonts w:ascii="Helvetica" w:hAnsi="Helvetica" w:cs="Helvetica"/>
          </w:rPr>
          <w:t>Building a more sustainable world will need more women engineers</w:t>
        </w:r>
      </w:hyperlink>
      <w:r w:rsidRPr="00296B8D">
        <w:rPr>
          <w:rFonts w:ascii="Helvetica" w:hAnsi="Helvetica" w:cs="Helvetica"/>
          <w:bCs/>
          <w:lang w:val="en-AU"/>
        </w:rPr>
        <w:t>.</w:t>
      </w:r>
    </w:p>
    <w:p w14:paraId="5C9122CF" w14:textId="77777777" w:rsidR="007A6039" w:rsidRPr="00296B8D" w:rsidRDefault="007A6039" w:rsidP="00296B8D">
      <w:pPr>
        <w:pStyle w:val="Body"/>
        <w:spacing w:before="120" w:after="120" w:line="288" w:lineRule="auto"/>
        <w:rPr>
          <w:rFonts w:ascii="Helvetica" w:hAnsi="Helvetica" w:cs="Helvetica"/>
          <w:bCs/>
          <w:lang w:val="en-AU"/>
        </w:rPr>
      </w:pPr>
      <w:r w:rsidRPr="00296B8D">
        <w:rPr>
          <w:rFonts w:ascii="Helvetica" w:hAnsi="Helvetica" w:cs="Helvetica"/>
          <w:bCs/>
          <w:lang w:val="en-AU"/>
        </w:rPr>
        <w:t xml:space="preserve">Harrison J &amp; Klotz L (2010) </w:t>
      </w:r>
      <w:hyperlink r:id="rId23" w:history="1">
        <w:r w:rsidRPr="00296B8D">
          <w:rPr>
            <w:rStyle w:val="Hyperlink"/>
            <w:rFonts w:ascii="Helvetica" w:hAnsi="Helvetica" w:cs="Helvetica"/>
            <w:bCs/>
            <w:lang w:val="en-AU"/>
          </w:rPr>
          <w:t>Women as sustainability leaders in engineering: evidence from industry and academia in the US</w:t>
        </w:r>
      </w:hyperlink>
      <w:r w:rsidRPr="00296B8D">
        <w:rPr>
          <w:rFonts w:ascii="Helvetica" w:hAnsi="Helvetica" w:cs="Helvetica"/>
          <w:bCs/>
          <w:lang w:val="en-AU"/>
        </w:rPr>
        <w:t>.</w:t>
      </w:r>
    </w:p>
    <w:p w14:paraId="518DD9DE" w14:textId="77777777" w:rsidR="00FB3A31" w:rsidRDefault="00FB3A31" w:rsidP="00296B8D">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p>
    <w:p w14:paraId="08BF9269" w14:textId="1F70B9EA" w:rsidR="00FB3A31" w:rsidRPr="00862778" w:rsidRDefault="00FB3A31" w:rsidP="00296B8D">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862778">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Rubric</w:t>
      </w:r>
    </w:p>
    <w:tbl>
      <w:tblPr>
        <w:tblW w:w="96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07"/>
        <w:gridCol w:w="2407"/>
        <w:gridCol w:w="2408"/>
        <w:gridCol w:w="2408"/>
      </w:tblGrid>
      <w:tr w:rsidR="00467D53" w:rsidRPr="00296B8D" w14:paraId="6C04B3B2" w14:textId="77777777" w:rsidTr="00467D53">
        <w:trPr>
          <w:trHeight w:val="295"/>
        </w:trPr>
        <w:tc>
          <w:tcPr>
            <w:tcW w:w="2407" w:type="dxa"/>
            <w:shd w:val="clear" w:color="auto" w:fill="auto"/>
            <w:tcMar>
              <w:top w:w="80" w:type="dxa"/>
              <w:left w:w="80" w:type="dxa"/>
              <w:bottom w:w="80" w:type="dxa"/>
              <w:right w:w="80" w:type="dxa"/>
            </w:tcMar>
          </w:tcPr>
          <w:p w14:paraId="6805511A" w14:textId="77777777" w:rsidR="00AE3DF1" w:rsidRPr="00296B8D" w:rsidRDefault="00AE3DF1" w:rsidP="00296B8D">
            <w:pPr>
              <w:pStyle w:val="TableStyle2"/>
              <w:spacing w:before="120" w:after="120" w:line="288" w:lineRule="auto"/>
              <w:rPr>
                <w:rFonts w:ascii="Helvetica" w:hAnsi="Helvetica" w:cs="Helvetica"/>
                <w:b/>
                <w:bCs/>
                <w:color w:val="auto"/>
              </w:rPr>
            </w:pPr>
            <w:r w:rsidRPr="00296B8D">
              <w:rPr>
                <w:rFonts w:ascii="Helvetica" w:hAnsi="Helvetica" w:cs="Helvetica"/>
                <w:b/>
                <w:bCs/>
                <w:color w:val="auto"/>
              </w:rPr>
              <w:t>Criteria</w:t>
            </w:r>
          </w:p>
        </w:tc>
        <w:tc>
          <w:tcPr>
            <w:tcW w:w="2407" w:type="dxa"/>
            <w:shd w:val="clear" w:color="auto" w:fill="auto"/>
            <w:tcMar>
              <w:top w:w="80" w:type="dxa"/>
              <w:left w:w="80" w:type="dxa"/>
              <w:bottom w:w="80" w:type="dxa"/>
              <w:right w:w="80" w:type="dxa"/>
            </w:tcMar>
          </w:tcPr>
          <w:p w14:paraId="2F053919"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hAnsi="Helvetica" w:cs="Helvetica"/>
                <w:b/>
                <w:bCs/>
                <w:color w:val="auto"/>
              </w:rPr>
              <w:t>Beginning</w:t>
            </w:r>
          </w:p>
        </w:tc>
        <w:tc>
          <w:tcPr>
            <w:tcW w:w="2407" w:type="dxa"/>
            <w:shd w:val="clear" w:color="auto" w:fill="auto"/>
            <w:tcMar>
              <w:top w:w="80" w:type="dxa"/>
              <w:left w:w="80" w:type="dxa"/>
              <w:bottom w:w="80" w:type="dxa"/>
              <w:right w:w="80" w:type="dxa"/>
            </w:tcMar>
          </w:tcPr>
          <w:p w14:paraId="766C4813"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hAnsi="Helvetica" w:cs="Helvetica"/>
                <w:b/>
                <w:bCs/>
                <w:color w:val="auto"/>
              </w:rPr>
              <w:t>Achieved</w:t>
            </w:r>
          </w:p>
        </w:tc>
        <w:tc>
          <w:tcPr>
            <w:tcW w:w="2407" w:type="dxa"/>
            <w:shd w:val="clear" w:color="auto" w:fill="auto"/>
            <w:tcMar>
              <w:top w:w="80" w:type="dxa"/>
              <w:left w:w="80" w:type="dxa"/>
              <w:bottom w:w="80" w:type="dxa"/>
              <w:right w:w="80" w:type="dxa"/>
            </w:tcMar>
          </w:tcPr>
          <w:p w14:paraId="3315F27F"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hAnsi="Helvetica" w:cs="Helvetica"/>
                <w:b/>
                <w:bCs/>
                <w:color w:val="auto"/>
              </w:rPr>
              <w:t>Exceeded</w:t>
            </w:r>
          </w:p>
        </w:tc>
      </w:tr>
      <w:tr w:rsidR="00467D53" w:rsidRPr="00296B8D" w14:paraId="66B0562B" w14:textId="77777777" w:rsidTr="00467D53">
        <w:trPr>
          <w:trHeight w:val="961"/>
        </w:trPr>
        <w:tc>
          <w:tcPr>
            <w:tcW w:w="2407" w:type="dxa"/>
            <w:shd w:val="clear" w:color="auto" w:fill="F5F5F5"/>
            <w:tcMar>
              <w:top w:w="80" w:type="dxa"/>
              <w:left w:w="80" w:type="dxa"/>
              <w:bottom w:w="80" w:type="dxa"/>
              <w:right w:w="80" w:type="dxa"/>
            </w:tcMar>
          </w:tcPr>
          <w:p w14:paraId="0B6EB166" w14:textId="77777777" w:rsidR="00AE3DF1" w:rsidRPr="00296B8D" w:rsidRDefault="00AE3DF1" w:rsidP="00296B8D">
            <w:pPr>
              <w:pStyle w:val="TableStyle2"/>
              <w:spacing w:before="120" w:after="120" w:line="288" w:lineRule="auto"/>
              <w:rPr>
                <w:rFonts w:ascii="Helvetica" w:hAnsi="Helvetica" w:cs="Helvetica"/>
                <w:i/>
                <w:iCs/>
                <w:color w:val="auto"/>
              </w:rPr>
            </w:pPr>
            <w:r w:rsidRPr="00296B8D">
              <w:rPr>
                <w:rFonts w:ascii="Helvetica" w:hAnsi="Helvetica" w:cs="Helvetica"/>
                <w:i/>
                <w:iCs/>
                <w:color w:val="auto"/>
              </w:rPr>
              <w:t>Explanation of project solution</w:t>
            </w:r>
          </w:p>
        </w:tc>
        <w:tc>
          <w:tcPr>
            <w:tcW w:w="2407" w:type="dxa"/>
            <w:shd w:val="clear" w:color="auto" w:fill="F5F5F5"/>
            <w:tcMar>
              <w:top w:w="80" w:type="dxa"/>
              <w:left w:w="80" w:type="dxa"/>
              <w:bottom w:w="80" w:type="dxa"/>
              <w:right w:w="80" w:type="dxa"/>
            </w:tcMar>
          </w:tcPr>
          <w:p w14:paraId="309841BD"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rPr>
              <w:t xml:space="preserve">Links the project to a global issue. </w:t>
            </w:r>
          </w:p>
        </w:tc>
        <w:tc>
          <w:tcPr>
            <w:tcW w:w="2407" w:type="dxa"/>
            <w:shd w:val="clear" w:color="auto" w:fill="F5F5F5"/>
            <w:tcMar>
              <w:top w:w="80" w:type="dxa"/>
              <w:left w:w="80" w:type="dxa"/>
              <w:bottom w:w="80" w:type="dxa"/>
              <w:right w:w="80" w:type="dxa"/>
            </w:tcMar>
          </w:tcPr>
          <w:p w14:paraId="5C1EC587"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rPr>
              <w:t xml:space="preserve">Describes the solution with reference to global cycles of matter and/or energy. </w:t>
            </w:r>
          </w:p>
        </w:tc>
        <w:tc>
          <w:tcPr>
            <w:tcW w:w="2407" w:type="dxa"/>
            <w:shd w:val="clear" w:color="auto" w:fill="F5F5F5"/>
            <w:tcMar>
              <w:top w:w="80" w:type="dxa"/>
              <w:left w:w="80" w:type="dxa"/>
              <w:bottom w:w="80" w:type="dxa"/>
              <w:right w:w="80" w:type="dxa"/>
            </w:tcMar>
          </w:tcPr>
          <w:p w14:paraId="238CAC07"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rPr>
              <w:t xml:space="preserve">Explains the solution with reference to flow-on effects to global cycles of matter and/or energy. </w:t>
            </w:r>
          </w:p>
        </w:tc>
      </w:tr>
      <w:tr w:rsidR="00467D53" w:rsidRPr="00296B8D" w14:paraId="1E6667FC" w14:textId="77777777" w:rsidTr="00467D53">
        <w:trPr>
          <w:trHeight w:val="1201"/>
        </w:trPr>
        <w:tc>
          <w:tcPr>
            <w:tcW w:w="2407" w:type="dxa"/>
            <w:shd w:val="clear" w:color="auto" w:fill="auto"/>
            <w:tcMar>
              <w:top w:w="80" w:type="dxa"/>
              <w:left w:w="80" w:type="dxa"/>
              <w:bottom w:w="80" w:type="dxa"/>
              <w:right w:w="80" w:type="dxa"/>
            </w:tcMar>
          </w:tcPr>
          <w:p w14:paraId="15E6905B" w14:textId="77777777" w:rsidR="00AE3DF1" w:rsidRPr="00296B8D" w:rsidRDefault="00AE3DF1" w:rsidP="00296B8D">
            <w:pPr>
              <w:pStyle w:val="TableStyle2"/>
              <w:spacing w:before="120" w:after="120" w:line="288" w:lineRule="auto"/>
              <w:rPr>
                <w:rFonts w:ascii="Helvetica" w:hAnsi="Helvetica" w:cs="Helvetica"/>
                <w:i/>
                <w:iCs/>
                <w:color w:val="auto"/>
              </w:rPr>
            </w:pPr>
            <w:r w:rsidRPr="00296B8D">
              <w:rPr>
                <w:rFonts w:ascii="Helvetica" w:hAnsi="Helvetica" w:cs="Helvetica"/>
                <w:i/>
                <w:iCs/>
                <w:color w:val="auto"/>
              </w:rPr>
              <w:t xml:space="preserve">Role of engineering </w:t>
            </w:r>
          </w:p>
        </w:tc>
        <w:tc>
          <w:tcPr>
            <w:tcW w:w="2407" w:type="dxa"/>
            <w:shd w:val="clear" w:color="auto" w:fill="auto"/>
            <w:tcMar>
              <w:top w:w="80" w:type="dxa"/>
              <w:left w:w="80" w:type="dxa"/>
              <w:bottom w:w="80" w:type="dxa"/>
              <w:right w:w="80" w:type="dxa"/>
            </w:tcMar>
          </w:tcPr>
          <w:p w14:paraId="493CB9A4"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lang w:val="en-US"/>
              </w:rPr>
              <w:t xml:space="preserve">Identifies the type of engineering involved in the project. </w:t>
            </w:r>
          </w:p>
        </w:tc>
        <w:tc>
          <w:tcPr>
            <w:tcW w:w="2407" w:type="dxa"/>
            <w:shd w:val="clear" w:color="auto" w:fill="auto"/>
            <w:tcMar>
              <w:top w:w="80" w:type="dxa"/>
              <w:left w:w="80" w:type="dxa"/>
              <w:bottom w:w="80" w:type="dxa"/>
              <w:right w:w="80" w:type="dxa"/>
            </w:tcMar>
          </w:tcPr>
          <w:p w14:paraId="39AAA677"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lang w:val="en-US"/>
              </w:rPr>
              <w:t xml:space="preserve">Describes the role of different types of engineering in the project. </w:t>
            </w:r>
          </w:p>
        </w:tc>
        <w:tc>
          <w:tcPr>
            <w:tcW w:w="2407" w:type="dxa"/>
            <w:shd w:val="clear" w:color="auto" w:fill="auto"/>
            <w:tcMar>
              <w:top w:w="80" w:type="dxa"/>
              <w:left w:w="80" w:type="dxa"/>
              <w:bottom w:w="80" w:type="dxa"/>
              <w:right w:w="80" w:type="dxa"/>
            </w:tcMar>
          </w:tcPr>
          <w:p w14:paraId="62C0ED8F"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lang w:val="en-US"/>
              </w:rPr>
              <w:t xml:space="preserve">Explains how different types of engineers collaborate to design multidisciplinary solutions in the project. </w:t>
            </w:r>
          </w:p>
        </w:tc>
      </w:tr>
      <w:tr w:rsidR="00467D53" w:rsidRPr="00296B8D" w14:paraId="6ADCFF07" w14:textId="77777777" w:rsidTr="00467D53">
        <w:trPr>
          <w:trHeight w:val="1201"/>
        </w:trPr>
        <w:tc>
          <w:tcPr>
            <w:tcW w:w="2407" w:type="dxa"/>
            <w:shd w:val="clear" w:color="auto" w:fill="F5F5F5"/>
            <w:tcMar>
              <w:top w:w="80" w:type="dxa"/>
              <w:left w:w="80" w:type="dxa"/>
              <w:bottom w:w="80" w:type="dxa"/>
              <w:right w:w="80" w:type="dxa"/>
            </w:tcMar>
          </w:tcPr>
          <w:p w14:paraId="59AFEAA3" w14:textId="77777777" w:rsidR="00AE3DF1" w:rsidRPr="00296B8D" w:rsidRDefault="00AE3DF1" w:rsidP="00296B8D">
            <w:pPr>
              <w:pStyle w:val="TableStyle2"/>
              <w:spacing w:before="120" w:after="120" w:line="288" w:lineRule="auto"/>
              <w:rPr>
                <w:rFonts w:ascii="Helvetica" w:hAnsi="Helvetica" w:cs="Helvetica"/>
                <w:i/>
                <w:iCs/>
                <w:color w:val="auto"/>
              </w:rPr>
            </w:pPr>
            <w:r w:rsidRPr="00296B8D">
              <w:rPr>
                <w:rFonts w:ascii="Helvetica" w:hAnsi="Helvetica" w:cs="Helvetica"/>
                <w:i/>
                <w:iCs/>
                <w:color w:val="auto"/>
              </w:rPr>
              <w:t>Role of other professions</w:t>
            </w:r>
          </w:p>
        </w:tc>
        <w:tc>
          <w:tcPr>
            <w:tcW w:w="2407" w:type="dxa"/>
            <w:shd w:val="clear" w:color="auto" w:fill="F5F5F5"/>
            <w:tcMar>
              <w:top w:w="80" w:type="dxa"/>
              <w:left w:w="80" w:type="dxa"/>
              <w:bottom w:w="80" w:type="dxa"/>
              <w:right w:w="80" w:type="dxa"/>
            </w:tcMar>
          </w:tcPr>
          <w:p w14:paraId="4CC962FB"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lang w:val="en-US"/>
              </w:rPr>
              <w:t xml:space="preserve">Identifies some other professionals involved in the project. </w:t>
            </w:r>
          </w:p>
        </w:tc>
        <w:tc>
          <w:tcPr>
            <w:tcW w:w="2407" w:type="dxa"/>
            <w:shd w:val="clear" w:color="auto" w:fill="F5F5F5"/>
            <w:tcMar>
              <w:top w:w="80" w:type="dxa"/>
              <w:left w:w="80" w:type="dxa"/>
              <w:bottom w:w="80" w:type="dxa"/>
              <w:right w:w="80" w:type="dxa"/>
            </w:tcMar>
          </w:tcPr>
          <w:p w14:paraId="64E70302"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rPr>
              <w:t xml:space="preserve">Describes how other professionals are involved in the project. </w:t>
            </w:r>
          </w:p>
        </w:tc>
        <w:tc>
          <w:tcPr>
            <w:tcW w:w="2407" w:type="dxa"/>
            <w:shd w:val="clear" w:color="auto" w:fill="F5F5F5"/>
            <w:tcMar>
              <w:top w:w="80" w:type="dxa"/>
              <w:left w:w="80" w:type="dxa"/>
              <w:bottom w:w="80" w:type="dxa"/>
              <w:right w:w="80" w:type="dxa"/>
            </w:tcMar>
          </w:tcPr>
          <w:p w14:paraId="0D6B5D0A" w14:textId="77777777" w:rsidR="00AE3DF1" w:rsidRPr="00296B8D" w:rsidRDefault="00AE3DF1" w:rsidP="00296B8D">
            <w:pPr>
              <w:pStyle w:val="TableStyle2"/>
              <w:spacing w:before="120" w:after="120" w:line="288" w:lineRule="auto"/>
              <w:rPr>
                <w:rFonts w:ascii="Helvetica" w:hAnsi="Helvetica" w:cs="Helvetica"/>
                <w:color w:val="auto"/>
              </w:rPr>
            </w:pPr>
            <w:r w:rsidRPr="00296B8D">
              <w:rPr>
                <w:rFonts w:ascii="Helvetica" w:eastAsia="Arial Unicode MS" w:hAnsi="Helvetica" w:cs="Helvetica"/>
                <w:color w:val="auto"/>
              </w:rPr>
              <w:t xml:space="preserve">Explains how other professionals collaborate with engineers to design multidisciplinary solutions in the project. </w:t>
            </w:r>
          </w:p>
        </w:tc>
      </w:tr>
      <w:tr w:rsidR="00467D53" w:rsidRPr="00296B8D" w14:paraId="16FE6C7C" w14:textId="77777777" w:rsidTr="00467D53">
        <w:trPr>
          <w:trHeight w:val="2161"/>
        </w:trPr>
        <w:tc>
          <w:tcPr>
            <w:tcW w:w="2407" w:type="dxa"/>
            <w:shd w:val="clear" w:color="auto" w:fill="auto"/>
            <w:tcMar>
              <w:top w:w="80" w:type="dxa"/>
              <w:left w:w="80" w:type="dxa"/>
              <w:bottom w:w="80" w:type="dxa"/>
              <w:right w:w="80" w:type="dxa"/>
            </w:tcMar>
          </w:tcPr>
          <w:p w14:paraId="3B30AACD" w14:textId="77777777" w:rsidR="00AE3DF1" w:rsidRPr="00296B8D" w:rsidRDefault="00AE3DF1" w:rsidP="00296B8D">
            <w:pPr>
              <w:pStyle w:val="TableStyle2"/>
              <w:spacing w:line="288" w:lineRule="auto"/>
              <w:rPr>
                <w:rFonts w:ascii="Helvetica" w:hAnsi="Helvetica" w:cs="Helvetica"/>
                <w:i/>
                <w:iCs/>
                <w:color w:val="auto"/>
              </w:rPr>
            </w:pPr>
            <w:r w:rsidRPr="00296B8D">
              <w:rPr>
                <w:rFonts w:ascii="Helvetica" w:hAnsi="Helvetica" w:cs="Helvetica"/>
                <w:i/>
                <w:iCs/>
                <w:color w:val="auto"/>
              </w:rPr>
              <w:lastRenderedPageBreak/>
              <w:t>Presentation</w:t>
            </w:r>
          </w:p>
        </w:tc>
        <w:tc>
          <w:tcPr>
            <w:tcW w:w="2407" w:type="dxa"/>
            <w:shd w:val="clear" w:color="auto" w:fill="auto"/>
            <w:tcMar>
              <w:top w:w="80" w:type="dxa"/>
              <w:left w:w="80" w:type="dxa"/>
              <w:bottom w:w="80" w:type="dxa"/>
              <w:right w:w="80" w:type="dxa"/>
            </w:tcMar>
          </w:tcPr>
          <w:p w14:paraId="55154CAB" w14:textId="77777777" w:rsidR="00AE3DF1" w:rsidRPr="00296B8D" w:rsidRDefault="00AE3DF1" w:rsidP="00296B8D">
            <w:pPr>
              <w:pStyle w:val="TableStyle2"/>
              <w:spacing w:line="288" w:lineRule="auto"/>
              <w:rPr>
                <w:rFonts w:ascii="Helvetica" w:hAnsi="Helvetica" w:cs="Helvetica"/>
                <w:color w:val="auto"/>
              </w:rPr>
            </w:pPr>
            <w:r w:rsidRPr="00296B8D">
              <w:rPr>
                <w:rFonts w:ascii="Helvetica" w:eastAsia="Arial Unicode MS" w:hAnsi="Helvetica" w:cs="Helvetica"/>
                <w:color w:val="auto"/>
              </w:rPr>
              <w:t xml:space="preserve">The presentation covers the main points and considers audience engagement. </w:t>
            </w:r>
          </w:p>
        </w:tc>
        <w:tc>
          <w:tcPr>
            <w:tcW w:w="2407" w:type="dxa"/>
            <w:shd w:val="clear" w:color="auto" w:fill="auto"/>
            <w:tcMar>
              <w:top w:w="80" w:type="dxa"/>
              <w:left w:w="80" w:type="dxa"/>
              <w:bottom w:w="80" w:type="dxa"/>
              <w:right w:w="80" w:type="dxa"/>
            </w:tcMar>
          </w:tcPr>
          <w:p w14:paraId="2D2B1FED" w14:textId="77777777" w:rsidR="00AE3DF1" w:rsidRPr="00296B8D" w:rsidRDefault="00AE3DF1" w:rsidP="00296B8D">
            <w:pPr>
              <w:pStyle w:val="TableStyle2"/>
              <w:spacing w:line="288" w:lineRule="auto"/>
              <w:rPr>
                <w:rFonts w:ascii="Helvetica" w:hAnsi="Helvetica" w:cs="Helvetica"/>
                <w:color w:val="auto"/>
              </w:rPr>
            </w:pPr>
            <w:r w:rsidRPr="00296B8D">
              <w:rPr>
                <w:rFonts w:ascii="Helvetica" w:eastAsia="Arial Unicode MS" w:hAnsi="Helvetica" w:cs="Helvetica"/>
                <w:color w:val="auto"/>
                <w:lang w:val="en-US"/>
              </w:rPr>
              <w:t xml:space="preserve">The presentation is well </w:t>
            </w:r>
            <w:proofErr w:type="spellStart"/>
            <w:r w:rsidRPr="00296B8D">
              <w:rPr>
                <w:rFonts w:ascii="Helvetica" w:eastAsia="Arial Unicode MS" w:hAnsi="Helvetica" w:cs="Helvetica"/>
                <w:color w:val="auto"/>
                <w:lang w:val="en-US"/>
              </w:rPr>
              <w:t>organised</w:t>
            </w:r>
            <w:proofErr w:type="spellEnd"/>
            <w:r w:rsidRPr="00296B8D">
              <w:rPr>
                <w:rFonts w:ascii="Helvetica" w:eastAsia="Arial Unicode MS" w:hAnsi="Helvetica" w:cs="Helvetica"/>
                <w:color w:val="auto"/>
                <w:lang w:val="en-US"/>
              </w:rPr>
              <w:t xml:space="preserve"> to cover the main points effectively and uses visual and verbal devices to engage the audience. </w:t>
            </w:r>
          </w:p>
        </w:tc>
        <w:tc>
          <w:tcPr>
            <w:tcW w:w="2407" w:type="dxa"/>
            <w:shd w:val="clear" w:color="auto" w:fill="auto"/>
            <w:tcMar>
              <w:top w:w="80" w:type="dxa"/>
              <w:left w:w="80" w:type="dxa"/>
              <w:bottom w:w="80" w:type="dxa"/>
              <w:right w:w="80" w:type="dxa"/>
            </w:tcMar>
          </w:tcPr>
          <w:p w14:paraId="6A749ED6" w14:textId="77777777" w:rsidR="00AE3DF1" w:rsidRPr="00296B8D" w:rsidRDefault="00AE3DF1" w:rsidP="00296B8D">
            <w:pPr>
              <w:pStyle w:val="TableStyle2"/>
              <w:spacing w:line="288" w:lineRule="auto"/>
              <w:rPr>
                <w:rFonts w:ascii="Helvetica" w:hAnsi="Helvetica" w:cs="Helvetica"/>
                <w:color w:val="auto"/>
              </w:rPr>
            </w:pPr>
            <w:r w:rsidRPr="00296B8D">
              <w:rPr>
                <w:rFonts w:ascii="Helvetica" w:eastAsia="Arial Unicode MS" w:hAnsi="Helvetica" w:cs="Helvetica"/>
                <w:color w:val="auto"/>
                <w:lang w:val="en-US"/>
              </w:rPr>
              <w:t xml:space="preserve">The presentation is creatively </w:t>
            </w:r>
            <w:proofErr w:type="spellStart"/>
            <w:r w:rsidRPr="00296B8D">
              <w:rPr>
                <w:rFonts w:ascii="Helvetica" w:eastAsia="Arial Unicode MS" w:hAnsi="Helvetica" w:cs="Helvetica"/>
                <w:color w:val="auto"/>
                <w:lang w:val="en-US"/>
              </w:rPr>
              <w:t>organised</w:t>
            </w:r>
            <w:proofErr w:type="spellEnd"/>
            <w:r w:rsidRPr="00296B8D">
              <w:rPr>
                <w:rFonts w:ascii="Helvetica" w:eastAsia="Arial Unicode MS" w:hAnsi="Helvetica" w:cs="Helvetica"/>
                <w:color w:val="auto"/>
                <w:lang w:val="en-US"/>
              </w:rPr>
              <w:t xml:space="preserve"> and presented to cover key points in an impactful way. Visual and verbal devices are used to engage the audience and highlight key messages. </w:t>
            </w:r>
          </w:p>
        </w:tc>
      </w:tr>
    </w:tbl>
    <w:p w14:paraId="025CF393" w14:textId="77777777" w:rsidR="00FB3A31" w:rsidRPr="00296B8D" w:rsidRDefault="00FB3A31" w:rsidP="00296B8D">
      <w:pPr>
        <w:pStyle w:val="Body"/>
        <w:spacing w:before="120" w:after="120" w:line="288" w:lineRule="auto"/>
        <w:rPr>
          <w:rFonts w:ascii="Helvetica" w:eastAsiaTheme="minorEastAsia" w:hAnsi="Helvetica" w:cs="Helvetica"/>
          <w:b/>
          <w:bCs/>
          <w:color w:val="37424A"/>
          <w:sz w:val="20"/>
          <w:szCs w:val="20"/>
          <w:bdr w:val="none" w:sz="0" w:space="0" w:color="auto"/>
          <w:lang w:eastAsia="zh-CN"/>
          <w14:textOutline w14:w="0" w14:cap="rnd" w14:cmpd="sng" w14:algn="ctr">
            <w14:noFill/>
            <w14:prstDash w14:val="solid"/>
            <w14:bevel/>
          </w14:textOutline>
        </w:rPr>
      </w:pPr>
    </w:p>
    <w:sectPr w:rsidR="00FB3A31" w:rsidRPr="00296B8D" w:rsidSect="005133E7">
      <w:headerReference w:type="default" r:id="rId24"/>
      <w:footerReference w:type="default" r:id="rId25"/>
      <w:headerReference w:type="first" r:id="rId26"/>
      <w:footerReference w:type="first" r:id="rId27"/>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73BAE" w14:textId="77777777" w:rsidR="005133E7" w:rsidRDefault="005133E7" w:rsidP="00BE10D7">
      <w:r>
        <w:separator/>
      </w:r>
    </w:p>
  </w:endnote>
  <w:endnote w:type="continuationSeparator" w:id="0">
    <w:p w14:paraId="0128F659" w14:textId="77777777" w:rsidR="005133E7" w:rsidRDefault="005133E7"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4DC8" w14:textId="6250EE27"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w:t>
    </w:r>
    <w:r w:rsidR="005F0FDB">
      <w:t>4</w:t>
    </w:r>
    <w:r w:rsidR="00750E70" w:rsidRPr="00750E70">
      <w:t xml:space="preserve"> Education Services Australia Ltd, unless otherwise indicated. This material may </w:t>
    </w:r>
    <w:r w:rsidR="00750E70">
      <w:br/>
    </w:r>
    <w:r w:rsidR="00750E70" w:rsidRPr="00750E70">
      <w:t xml:space="preserve">be used, reproduced, </w:t>
    </w:r>
    <w:proofErr w:type="gramStart"/>
    <w:r w:rsidR="00750E70" w:rsidRPr="00750E70">
      <w:t>published</w:t>
    </w:r>
    <w:proofErr w:type="gramEnd"/>
    <w:r w:rsidR="00750E70" w:rsidRPr="00750E70">
      <w:t xml:space="preserve">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D389" w14:textId="6CA29487"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w:t>
    </w:r>
    <w:r w:rsidR="001F2080">
      <w:t>4</w:t>
    </w:r>
    <w:r w:rsidR="00EF7939" w:rsidRPr="00750E70">
      <w:t xml:space="preserve"> Education Services Australia Ltd, unless otherwise indicated. This material may </w:t>
    </w:r>
    <w:r w:rsidR="00750E70">
      <w:br/>
    </w:r>
    <w:r w:rsidR="00EF7939" w:rsidRPr="00750E70">
      <w:t xml:space="preserve">be used, reproduced, </w:t>
    </w:r>
    <w:proofErr w:type="gramStart"/>
    <w:r w:rsidR="00EF7939" w:rsidRPr="00750E70">
      <w:t>published</w:t>
    </w:r>
    <w:proofErr w:type="gramEnd"/>
    <w:r w:rsidR="00EF7939" w:rsidRPr="00750E70">
      <w:t xml:space="preserve">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22D95" w14:textId="77777777" w:rsidR="005133E7" w:rsidRDefault="005133E7" w:rsidP="00BE10D7">
      <w:r>
        <w:separator/>
      </w:r>
    </w:p>
  </w:footnote>
  <w:footnote w:type="continuationSeparator" w:id="0">
    <w:p w14:paraId="1479C2B6" w14:textId="77777777" w:rsidR="005133E7" w:rsidRDefault="005133E7"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7"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08A1E82"/>
    <w:multiLevelType w:val="hybridMultilevel"/>
    <w:tmpl w:val="4270527A"/>
    <w:styleLink w:val="Bullet"/>
    <w:lvl w:ilvl="0" w:tplc="A6F825D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5632135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B246F6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E2E1C2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D4A424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E96D1C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DBE256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D84AE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F668A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3E86F1A"/>
    <w:multiLevelType w:val="multilevel"/>
    <w:tmpl w:val="1F045D02"/>
    <w:numStyleLink w:val="NumberedHeadings"/>
  </w:abstractNum>
  <w:abstractNum w:abstractNumId="3"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4" w15:restartNumberingAfterBreak="0">
    <w:nsid w:val="2F436828"/>
    <w:multiLevelType w:val="hybridMultilevel"/>
    <w:tmpl w:val="13FAA332"/>
    <w:styleLink w:val="Numbered"/>
    <w:lvl w:ilvl="0" w:tplc="63FC4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69F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EECA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65F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264A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9E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C6C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7CF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286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48B209E8"/>
    <w:multiLevelType w:val="hybridMultilevel"/>
    <w:tmpl w:val="51C8E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F6FD2"/>
    <w:multiLevelType w:val="hybridMultilevel"/>
    <w:tmpl w:val="5B72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3E4552"/>
    <w:multiLevelType w:val="hybridMultilevel"/>
    <w:tmpl w:val="2174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5452780">
    <w:abstractNumId w:val="7"/>
  </w:num>
  <w:num w:numId="2" w16cid:durableId="440102066">
    <w:abstractNumId w:val="3"/>
  </w:num>
  <w:num w:numId="3" w16cid:durableId="321127629">
    <w:abstractNumId w:val="5"/>
  </w:num>
  <w:num w:numId="4" w16cid:durableId="671034946">
    <w:abstractNumId w:val="0"/>
  </w:num>
  <w:num w:numId="5" w16cid:durableId="1186749380">
    <w:abstractNumId w:val="2"/>
  </w:num>
  <w:num w:numId="6" w16cid:durableId="1943562998">
    <w:abstractNumId w:val="8"/>
  </w:num>
  <w:num w:numId="7" w16cid:durableId="1552186692">
    <w:abstractNumId w:val="4"/>
  </w:num>
  <w:num w:numId="8" w16cid:durableId="1108427934">
    <w:abstractNumId w:val="1"/>
  </w:num>
  <w:num w:numId="9" w16cid:durableId="210771885">
    <w:abstractNumId w:val="9"/>
  </w:num>
  <w:num w:numId="10" w16cid:durableId="1569917731">
    <w:abstractNumId w:val="10"/>
  </w:num>
  <w:num w:numId="11" w16cid:durableId="16825426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41E75"/>
    <w:rsid w:val="000657FB"/>
    <w:rsid w:val="00084D4F"/>
    <w:rsid w:val="00085E9E"/>
    <w:rsid w:val="000929D0"/>
    <w:rsid w:val="00093D42"/>
    <w:rsid w:val="000D42DD"/>
    <w:rsid w:val="000E4701"/>
    <w:rsid w:val="000F525B"/>
    <w:rsid w:val="0010108B"/>
    <w:rsid w:val="00124D71"/>
    <w:rsid w:val="0014029D"/>
    <w:rsid w:val="00141CD6"/>
    <w:rsid w:val="00143398"/>
    <w:rsid w:val="00145020"/>
    <w:rsid w:val="00152AE8"/>
    <w:rsid w:val="00156814"/>
    <w:rsid w:val="00177866"/>
    <w:rsid w:val="001A74D4"/>
    <w:rsid w:val="001F2080"/>
    <w:rsid w:val="001F650D"/>
    <w:rsid w:val="001F676F"/>
    <w:rsid w:val="00206623"/>
    <w:rsid w:val="00225374"/>
    <w:rsid w:val="002322B2"/>
    <w:rsid w:val="00241B24"/>
    <w:rsid w:val="00242AA4"/>
    <w:rsid w:val="00247B4B"/>
    <w:rsid w:val="00266ED1"/>
    <w:rsid w:val="00282542"/>
    <w:rsid w:val="00296B8D"/>
    <w:rsid w:val="002B3C0B"/>
    <w:rsid w:val="002B6F05"/>
    <w:rsid w:val="002B7D27"/>
    <w:rsid w:val="002D2C96"/>
    <w:rsid w:val="00312BA5"/>
    <w:rsid w:val="0032414D"/>
    <w:rsid w:val="003317FA"/>
    <w:rsid w:val="00332E30"/>
    <w:rsid w:val="00341C7A"/>
    <w:rsid w:val="00345C57"/>
    <w:rsid w:val="003625C8"/>
    <w:rsid w:val="003639F8"/>
    <w:rsid w:val="00371429"/>
    <w:rsid w:val="00380652"/>
    <w:rsid w:val="00380C7B"/>
    <w:rsid w:val="0038120E"/>
    <w:rsid w:val="00392F53"/>
    <w:rsid w:val="003C0C33"/>
    <w:rsid w:val="003C2174"/>
    <w:rsid w:val="003D03C5"/>
    <w:rsid w:val="003E0821"/>
    <w:rsid w:val="003F62EF"/>
    <w:rsid w:val="00411699"/>
    <w:rsid w:val="00415B8E"/>
    <w:rsid w:val="00451851"/>
    <w:rsid w:val="00467D53"/>
    <w:rsid w:val="004915A8"/>
    <w:rsid w:val="004916B8"/>
    <w:rsid w:val="004957E4"/>
    <w:rsid w:val="00497B26"/>
    <w:rsid w:val="004A2362"/>
    <w:rsid w:val="004A2395"/>
    <w:rsid w:val="004A693B"/>
    <w:rsid w:val="004B0547"/>
    <w:rsid w:val="004B65CC"/>
    <w:rsid w:val="004C105F"/>
    <w:rsid w:val="004E49AE"/>
    <w:rsid w:val="004E5845"/>
    <w:rsid w:val="005131B2"/>
    <w:rsid w:val="005133E7"/>
    <w:rsid w:val="00515427"/>
    <w:rsid w:val="00541FA8"/>
    <w:rsid w:val="00547497"/>
    <w:rsid w:val="005615F0"/>
    <w:rsid w:val="00571124"/>
    <w:rsid w:val="00575E43"/>
    <w:rsid w:val="0058581E"/>
    <w:rsid w:val="005959C1"/>
    <w:rsid w:val="005A228B"/>
    <w:rsid w:val="005A4350"/>
    <w:rsid w:val="005F0FDB"/>
    <w:rsid w:val="005F7FEE"/>
    <w:rsid w:val="00605E36"/>
    <w:rsid w:val="006179CB"/>
    <w:rsid w:val="0062524A"/>
    <w:rsid w:val="006608AF"/>
    <w:rsid w:val="00685286"/>
    <w:rsid w:val="006945A5"/>
    <w:rsid w:val="006A4F05"/>
    <w:rsid w:val="006D0506"/>
    <w:rsid w:val="006D68F6"/>
    <w:rsid w:val="006F5FF4"/>
    <w:rsid w:val="00702B3F"/>
    <w:rsid w:val="00702E18"/>
    <w:rsid w:val="00710A1F"/>
    <w:rsid w:val="00722E23"/>
    <w:rsid w:val="00723D86"/>
    <w:rsid w:val="00726C50"/>
    <w:rsid w:val="00750E70"/>
    <w:rsid w:val="00762A59"/>
    <w:rsid w:val="00777CC1"/>
    <w:rsid w:val="0078357E"/>
    <w:rsid w:val="007A00DB"/>
    <w:rsid w:val="007A08BB"/>
    <w:rsid w:val="007A6039"/>
    <w:rsid w:val="007B2604"/>
    <w:rsid w:val="007C25F1"/>
    <w:rsid w:val="007C32BB"/>
    <w:rsid w:val="007C600E"/>
    <w:rsid w:val="007F38D4"/>
    <w:rsid w:val="007F73DA"/>
    <w:rsid w:val="00800CFD"/>
    <w:rsid w:val="00815AA2"/>
    <w:rsid w:val="00820445"/>
    <w:rsid w:val="00823C44"/>
    <w:rsid w:val="00827933"/>
    <w:rsid w:val="00840525"/>
    <w:rsid w:val="00847958"/>
    <w:rsid w:val="00862205"/>
    <w:rsid w:val="00862778"/>
    <w:rsid w:val="008732F6"/>
    <w:rsid w:val="00886FE1"/>
    <w:rsid w:val="00896D93"/>
    <w:rsid w:val="008A256F"/>
    <w:rsid w:val="008A371E"/>
    <w:rsid w:val="008A3EEB"/>
    <w:rsid w:val="008A4256"/>
    <w:rsid w:val="008A7F69"/>
    <w:rsid w:val="008C039E"/>
    <w:rsid w:val="008D0371"/>
    <w:rsid w:val="00927FF0"/>
    <w:rsid w:val="00940479"/>
    <w:rsid w:val="00982378"/>
    <w:rsid w:val="00984505"/>
    <w:rsid w:val="009908A2"/>
    <w:rsid w:val="009910F1"/>
    <w:rsid w:val="009926DD"/>
    <w:rsid w:val="009927E1"/>
    <w:rsid w:val="00997C9C"/>
    <w:rsid w:val="009A40EC"/>
    <w:rsid w:val="009D1307"/>
    <w:rsid w:val="009D5422"/>
    <w:rsid w:val="009E2BCA"/>
    <w:rsid w:val="009F0053"/>
    <w:rsid w:val="00A10318"/>
    <w:rsid w:val="00A13468"/>
    <w:rsid w:val="00A2520C"/>
    <w:rsid w:val="00A278AD"/>
    <w:rsid w:val="00A36B93"/>
    <w:rsid w:val="00A430E8"/>
    <w:rsid w:val="00A62197"/>
    <w:rsid w:val="00A63290"/>
    <w:rsid w:val="00A64B2C"/>
    <w:rsid w:val="00A7114B"/>
    <w:rsid w:val="00A71A4B"/>
    <w:rsid w:val="00A75F33"/>
    <w:rsid w:val="00A76A4B"/>
    <w:rsid w:val="00A849C4"/>
    <w:rsid w:val="00AA3683"/>
    <w:rsid w:val="00AB6B53"/>
    <w:rsid w:val="00AC5385"/>
    <w:rsid w:val="00AD0C7D"/>
    <w:rsid w:val="00AD545E"/>
    <w:rsid w:val="00AE3DF1"/>
    <w:rsid w:val="00AE4E78"/>
    <w:rsid w:val="00AF5349"/>
    <w:rsid w:val="00B14A58"/>
    <w:rsid w:val="00B23730"/>
    <w:rsid w:val="00B42381"/>
    <w:rsid w:val="00B46D3C"/>
    <w:rsid w:val="00B5011F"/>
    <w:rsid w:val="00B922A5"/>
    <w:rsid w:val="00BA55A5"/>
    <w:rsid w:val="00BA7F54"/>
    <w:rsid w:val="00BB04D5"/>
    <w:rsid w:val="00BE10D7"/>
    <w:rsid w:val="00BE469D"/>
    <w:rsid w:val="00C10699"/>
    <w:rsid w:val="00C21383"/>
    <w:rsid w:val="00C34428"/>
    <w:rsid w:val="00C418BD"/>
    <w:rsid w:val="00C45C4D"/>
    <w:rsid w:val="00C73608"/>
    <w:rsid w:val="00C81A14"/>
    <w:rsid w:val="00C8302F"/>
    <w:rsid w:val="00C85398"/>
    <w:rsid w:val="00C9322C"/>
    <w:rsid w:val="00C95F9A"/>
    <w:rsid w:val="00CA001A"/>
    <w:rsid w:val="00CA4305"/>
    <w:rsid w:val="00CC29D6"/>
    <w:rsid w:val="00CC3220"/>
    <w:rsid w:val="00D0318A"/>
    <w:rsid w:val="00D238AC"/>
    <w:rsid w:val="00D25231"/>
    <w:rsid w:val="00D26740"/>
    <w:rsid w:val="00D35578"/>
    <w:rsid w:val="00D36BC6"/>
    <w:rsid w:val="00D41E32"/>
    <w:rsid w:val="00D60501"/>
    <w:rsid w:val="00D8536E"/>
    <w:rsid w:val="00D85D38"/>
    <w:rsid w:val="00DA2E1A"/>
    <w:rsid w:val="00DB2935"/>
    <w:rsid w:val="00DB7483"/>
    <w:rsid w:val="00DC23FB"/>
    <w:rsid w:val="00DD5176"/>
    <w:rsid w:val="00DE159D"/>
    <w:rsid w:val="00DE5865"/>
    <w:rsid w:val="00DF59DE"/>
    <w:rsid w:val="00E026FD"/>
    <w:rsid w:val="00E3306E"/>
    <w:rsid w:val="00E57D50"/>
    <w:rsid w:val="00E63C1D"/>
    <w:rsid w:val="00E95312"/>
    <w:rsid w:val="00EA290A"/>
    <w:rsid w:val="00EA719C"/>
    <w:rsid w:val="00EA7F06"/>
    <w:rsid w:val="00EB50C3"/>
    <w:rsid w:val="00EF543A"/>
    <w:rsid w:val="00EF7939"/>
    <w:rsid w:val="00F04A56"/>
    <w:rsid w:val="00F0694F"/>
    <w:rsid w:val="00F11EA6"/>
    <w:rsid w:val="00F33FEB"/>
    <w:rsid w:val="00F41AA3"/>
    <w:rsid w:val="00F50782"/>
    <w:rsid w:val="00F5274E"/>
    <w:rsid w:val="00F97007"/>
    <w:rsid w:val="00FA7495"/>
    <w:rsid w:val="00FB0BA3"/>
    <w:rsid w:val="00FB3A31"/>
    <w:rsid w:val="00FB5F7A"/>
    <w:rsid w:val="00FC4433"/>
    <w:rsid w:val="00FE47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5"/>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5"/>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5"/>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5"/>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5"/>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5"/>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5"/>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5"/>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5"/>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14029D"/>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14029D"/>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750E70"/>
    <w:pPr>
      <w:numPr>
        <w:numId w:val="6"/>
      </w:numPr>
      <w:spacing w:before="20" w:after="0"/>
      <w:ind w:left="511" w:hanging="284"/>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536E"/>
    <w:rPr>
      <w:color w:val="605E5C"/>
      <w:shd w:val="clear" w:color="auto" w:fill="E1DFDD"/>
    </w:rPr>
  </w:style>
  <w:style w:type="numbering" w:customStyle="1" w:styleId="Numbered">
    <w:name w:val="Numbered"/>
    <w:rsid w:val="00143398"/>
    <w:pPr>
      <w:numPr>
        <w:numId w:val="7"/>
      </w:numPr>
    </w:pPr>
  </w:style>
  <w:style w:type="numbering" w:customStyle="1" w:styleId="Bullet">
    <w:name w:val="Bullet"/>
    <w:rsid w:val="00AF534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design-and-technologies_science/year-9/content-description?subject-identifier=SCISCIY9&amp;content-description-code=AC9S9U03&amp;detailed-content-descriptions=0&amp;hide-ccp=0&amp;hide-gc=0&amp;side-by-side=1&amp;strands-start-index=0&amp;subjects-start-index=0&amp;view=quick" TargetMode="External"/><Relationship Id="rId18" Type="http://schemas.openxmlformats.org/officeDocument/2006/relationships/hyperlink" Target="https://earthshotprize.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temwomen.org.au/search"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_design-and-technologies_digital-technologies/year-8/content-description?subject-identifier=TECTDEY78&amp;content-description-code=AC9TDE8K02&amp;detailed-content-descriptions=0&amp;hide-ccp=0&amp;hide-gc=0&amp;side-by-side=1&amp;strands-start-index=0&amp;subjects-start-index=0&amp;view=quick" TargetMode="External"/><Relationship Id="rId17" Type="http://schemas.openxmlformats.org/officeDocument/2006/relationships/hyperlink" Target="https://www.unsw.edu.au/engineering/news-events/events/engineering-the-futu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pQgxiQAMTTo" TargetMode="External"/><Relationship Id="rId20" Type="http://schemas.openxmlformats.org/officeDocument/2006/relationships/hyperlink" Target="https://www.stemwomen.org.au/sear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_design-and-technologies_digital-technologies/year-8/content-description?subject-identifier=TECTDEY78&amp;content-description-code=AC9TDE8K01&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9_year-10/content-description?subject-identifier=SCISCIY10&amp;content-description-code=AC9S10H02&amp;detailed-content-descriptions=0&amp;hide-ccp=0&amp;hide-gc=0&amp;side-by-side=1&amp;strands-start-index=0&amp;subjects-start-index=0&amp;view=quick" TargetMode="External"/><Relationship Id="rId23" Type="http://schemas.openxmlformats.org/officeDocument/2006/relationships/hyperlink" Target="https://www.researchgate.net/publication/283513452_Women_as_Sustainability_Leaders_in_Engineering_Evidence_from_Industry_and_Academia_in_the_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design-and-technologies_science/year-10/content-description?subject-identifier=SCISCIY10&amp;content-description-code=AC9S10U04&amp;detailed-content-descriptions=0&amp;hide-ccp=0&amp;hide-gc=0&amp;side-by-side=1&amp;strands-start-index=0&amp;subjects-start-index=0&amp;view=quick" TargetMode="External"/><Relationship Id="rId22" Type="http://schemas.openxmlformats.org/officeDocument/2006/relationships/hyperlink" Target="https://www.weforum.org/agenda/2020/03/women-engineers-sustainable-solutions-gender-equality/"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0AFF6E59-EC8F-48BE-A247-34EB7A84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92</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45</cp:revision>
  <cp:lastPrinted>2016-11-30T05:48:00Z</cp:lastPrinted>
  <dcterms:created xsi:type="dcterms:W3CDTF">2024-03-22T05:31:00Z</dcterms:created>
  <dcterms:modified xsi:type="dcterms:W3CDTF">2024-04-02T00:44:00Z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136304800</vt:r8>
  </property>
  <property fmtid="{D5CDD505-2E9C-101B-9397-08002B2CF9AE}" pid="4" name="MediaServiceImageTags">
    <vt:lpwstr/>
  </property>
</Properties>
</file>