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A5" w:rsidRPr="00241B24" w:rsidRDefault="001C6771" w:rsidP="00CF3C65">
      <w:pPr>
        <w:pStyle w:val="Heading1"/>
        <w:numPr>
          <w:ilvl w:val="0"/>
          <w:numId w:val="0"/>
        </w:numPr>
        <w:spacing w:before="0"/>
        <w:ind w:left="720" w:hanging="720"/>
      </w:pPr>
      <w:r>
        <w:t>Drone s</w:t>
      </w:r>
      <w:bookmarkStart w:id="0" w:name="_GoBack"/>
      <w:bookmarkEnd w:id="0"/>
      <w:r w:rsidR="00CF3C65">
        <w:t>earch</w:t>
      </w:r>
    </w:p>
    <w:p w:rsidR="00CF3C65" w:rsidRDefault="00CF3C65" w:rsidP="00CF3C65">
      <w:pPr>
        <w:pStyle w:val="Heading2"/>
        <w:numPr>
          <w:ilvl w:val="0"/>
          <w:numId w:val="0"/>
        </w:numPr>
        <w:ind w:left="720" w:hanging="720"/>
      </w:pPr>
      <w:r>
        <w:t xml:space="preserve">Assessment </w:t>
      </w:r>
    </w:p>
    <w:p w:rsidR="00CC3220" w:rsidRPr="00241B24" w:rsidRDefault="00CF3C65" w:rsidP="00CF3C65">
      <w:pPr>
        <w:pStyle w:val="Heading3"/>
        <w:numPr>
          <w:ilvl w:val="0"/>
          <w:numId w:val="0"/>
        </w:numPr>
        <w:ind w:left="720" w:hanging="720"/>
      </w:pPr>
      <w:r>
        <w:t>Drone photography application</w:t>
      </w:r>
    </w:p>
    <w:p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5"/>
        <w:gridCol w:w="2405"/>
      </w:tblGrid>
      <w:tr w:rsidR="00CF3C65" w:rsidTr="00CF3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>Problem identification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Describes the problem.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Describes the problem with reference to key features.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Describes the problem with reference to key landscape and time-related features.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>Needs analysis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Explains the need with reference to a stakeholder.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Explains the needs of a range of stakeholders. 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Explains the needs of a range of stakeholders in the short and long term. 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 xml:space="preserve">Solution design 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Designs a drone solution.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Designs a drone solution that meets the needs of key stakeholders.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Designs an innovative drone solution that meets the needs of key stakeholders 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>Model construction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With guidance, works collaboratively with other students and uses some tools and techniques.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Works collaboratively with other students and safely uses tools and techniques.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Works collaboratively with other students to support own and others’ safe use of tools and techniques. 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 xml:space="preserve">Model design 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The model shows some features of the problem and drone solution.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The model demonstrates key features of the problem and drone solution.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The model demonstrates key features of the problem and drone solution, and clearly shows the value of the solution. 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Default="00CF3C65" w:rsidP="00CF3C65">
            <w:r w:rsidRPr="00A16683">
              <w:t xml:space="preserve">Communication 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Uses technologies to explain the problem and drone solution using some technical terms.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Uses appropriate technical terms and technologies to communicate to a teacher and peer audience. </w:t>
            </w:r>
          </w:p>
        </w:tc>
        <w:tc>
          <w:tcPr>
            <w:tcW w:w="2405" w:type="dxa"/>
          </w:tcPr>
          <w:p w:rsidR="00CF3C65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Uses appropriate technical terms, representations and technologies to persuade a teacher and peer audience. </w:t>
            </w:r>
          </w:p>
        </w:tc>
      </w:tr>
    </w:tbl>
    <w:p w:rsidR="004A2395" w:rsidRDefault="00CF3C65" w:rsidP="00CF3C65">
      <w:pPr>
        <w:spacing w:before="0" w:after="0" w:line="240" w:lineRule="auto"/>
      </w:pPr>
      <w:sdt>
        <w:sdtPr>
          <w:rPr>
            <w:szCs w:val="24"/>
          </w:rPr>
          <w:id w:val="-344945140"/>
          <w:docPartObj>
            <w:docPartGallery w:val="Bibliographies"/>
            <w:docPartUnique/>
          </w:docPartObj>
        </w:sdtPr>
        <w:sdtEndPr>
          <w:rPr>
            <w:szCs w:val="20"/>
          </w:rPr>
        </w:sdtEndPr>
        <w:sdtContent>
          <w:sdt>
            <w:sdtPr>
              <w:id w:val="111145805"/>
              <w:showingPlcHdr/>
              <w:bibliography/>
            </w:sdtPr>
            <w:sdtContent>
              <w:r>
                <w:t xml:space="preserve">     </w:t>
              </w:r>
            </w:sdtContent>
          </w:sdt>
        </w:sdtContent>
      </w:sdt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05" w:rsidRDefault="00984505" w:rsidP="00E95312">
      <w:pPr>
        <w:spacing w:before="0" w:after="0" w:line="240" w:lineRule="auto"/>
      </w:pPr>
      <w:r>
        <w:separator/>
      </w:r>
    </w:p>
  </w:endnote>
  <w:endnote w:type="continuationSeparator" w:id="0">
    <w:p w:rsidR="00984505" w:rsidRDefault="00984505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Arial Unicode MS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3C" w:rsidRDefault="00B46D3C" w:rsidP="00B46D3C"/>
  <w:p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2EDFB9FF" wp14:editId="57EF483F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GiST URL Graphic Rever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GiST URL Graphic Rever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05" w:rsidRDefault="00984505" w:rsidP="00E95312">
      <w:pPr>
        <w:spacing w:before="0" w:after="0" w:line="240" w:lineRule="auto"/>
      </w:pPr>
      <w:r>
        <w:separator/>
      </w:r>
    </w:p>
  </w:footnote>
  <w:footnote w:type="continuationSeparator" w:id="0">
    <w:p w:rsidR="00984505" w:rsidRDefault="00984505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3833082" wp14:editId="4AE8ADFD">
          <wp:extent cx="2235203" cy="8382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 GiST Primary Logo + Title Rever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2235203" cy="8382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 GiST Primary Logo + Title Rever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20"/>
  </w:num>
  <w:num w:numId="5">
    <w:abstractNumId w:val="23"/>
  </w:num>
  <w:num w:numId="6">
    <w:abstractNumId w:val="29"/>
  </w:num>
  <w:num w:numId="7">
    <w:abstractNumId w:val="19"/>
  </w:num>
  <w:num w:numId="8">
    <w:abstractNumId w:val="8"/>
  </w:num>
  <w:num w:numId="9">
    <w:abstractNumId w:val="28"/>
  </w:num>
  <w:num w:numId="10">
    <w:abstractNumId w:val="33"/>
  </w:num>
  <w:num w:numId="11">
    <w:abstractNumId w:val="22"/>
  </w:num>
  <w:num w:numId="12">
    <w:abstractNumId w:val="15"/>
  </w:num>
  <w:num w:numId="13">
    <w:abstractNumId w:val="21"/>
  </w:num>
  <w:num w:numId="14">
    <w:abstractNumId w:val="24"/>
  </w:num>
  <w:num w:numId="15">
    <w:abstractNumId w:val="26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9"/>
  </w:num>
  <w:num w:numId="21">
    <w:abstractNumId w:val="10"/>
  </w:num>
  <w:num w:numId="22">
    <w:abstractNumId w:val="16"/>
  </w:num>
  <w:num w:numId="23">
    <w:abstractNumId w:val="6"/>
  </w:num>
  <w:num w:numId="24">
    <w:abstractNumId w:val="7"/>
  </w:num>
  <w:num w:numId="25">
    <w:abstractNumId w:val="27"/>
  </w:num>
  <w:num w:numId="26">
    <w:abstractNumId w:val="31"/>
  </w:num>
  <w:num w:numId="27">
    <w:abstractNumId w:val="1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32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C6771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680546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documentManagement/types"/>
    <ds:schemaRef ds:uri="7181fa4a-8de9-416e-8dc5-d5afb3cc483c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4C248-B695-4255-982E-B0144868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Emma Durbridge</cp:lastModifiedBy>
  <cp:revision>3</cp:revision>
  <cp:lastPrinted>2016-11-30T05:48:00Z</cp:lastPrinted>
  <dcterms:created xsi:type="dcterms:W3CDTF">2019-08-22T06:59:00Z</dcterms:created>
  <dcterms:modified xsi:type="dcterms:W3CDTF">2019-08-22T07:00:00Z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